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D20AB7"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Zał</w:t>
      </w:r>
      <w:bookmarkStart w:id="0" w:name="_GoBack"/>
      <w:bookmarkEnd w:id="0"/>
      <w:r>
        <w:rPr>
          <w:rFonts w:ascii="Calibri" w:eastAsia="Times New Roman" w:hAnsi="Calibri"/>
          <w:b/>
          <w:bCs/>
          <w:kern w:val="32"/>
          <w:sz w:val="22"/>
          <w:szCs w:val="22"/>
        </w:rPr>
        <w:t>. 9.</w:t>
      </w:r>
      <w:r w:rsidR="00C8778A">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B9130A">
      <w:pPr>
        <w:numPr>
          <w:ilvl w:val="2"/>
          <w:numId w:val="18"/>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B9130A">
      <w:pPr>
        <w:pStyle w:val="Tekstpodstawowy"/>
        <w:numPr>
          <w:ilvl w:val="0"/>
          <w:numId w:val="10"/>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 xml:space="preserve">Wytycznymi w zakresie kwalifikowalności, opublikowanych na stronie internetowej IZ RPOWP www.rpo.wrotapodlasia.pl oraz </w:t>
      </w:r>
      <w:r w:rsidRPr="00F64E9C">
        <w:rPr>
          <w:rFonts w:ascii="Calibri" w:hAnsi="Calibri"/>
          <w:sz w:val="22"/>
          <w:szCs w:val="22"/>
        </w:rPr>
        <w:lastRenderedPageBreak/>
        <w:t>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lastRenderedPageBreak/>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w:t>
      </w:r>
      <w:r w:rsidRPr="00FC702A">
        <w:rPr>
          <w:rFonts w:ascii="Calibri" w:hAnsi="Calibri"/>
          <w:color w:val="000000"/>
          <w:sz w:val="22"/>
          <w:szCs w:val="22"/>
        </w:rPr>
        <w:lastRenderedPageBreak/>
        <w:t>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9130A">
      <w:pPr>
        <w:pStyle w:val="Tekstpodstawowy"/>
        <w:numPr>
          <w:ilvl w:val="0"/>
          <w:numId w:val="43"/>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9130A">
      <w:pPr>
        <w:numPr>
          <w:ilvl w:val="0"/>
          <w:numId w:val="43"/>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B9130A">
      <w:pPr>
        <w:numPr>
          <w:ilvl w:val="0"/>
          <w:numId w:val="43"/>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B9130A">
      <w:pPr>
        <w:numPr>
          <w:ilvl w:val="0"/>
          <w:numId w:val="30"/>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B9130A">
      <w:pPr>
        <w:pStyle w:val="Akapitzlist"/>
        <w:numPr>
          <w:ilvl w:val="0"/>
          <w:numId w:val="43"/>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kwalifikowalności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oraz przedstawienia zbiorczej informacji o Oświadczeniach o kwalifikowalności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B9130A">
      <w:pPr>
        <w:pStyle w:val="Akapitzlist"/>
        <w:numPr>
          <w:ilvl w:val="0"/>
          <w:numId w:val="43"/>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B9130A">
      <w:pPr>
        <w:pStyle w:val="Akapitzlist"/>
        <w:numPr>
          <w:ilvl w:val="0"/>
          <w:numId w:val="43"/>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B9130A">
      <w:pPr>
        <w:numPr>
          <w:ilvl w:val="1"/>
          <w:numId w:val="68"/>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B9130A">
      <w:pPr>
        <w:numPr>
          <w:ilvl w:val="0"/>
          <w:numId w:val="43"/>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9130A">
      <w:pPr>
        <w:numPr>
          <w:ilvl w:val="0"/>
          <w:numId w:val="43"/>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 xml:space="preserve">poprzez stosowanie kryteriów premiujących oferty podmiotów ekonomii </w:t>
      </w:r>
      <w:r w:rsidR="001D39D4" w:rsidRPr="001D39D4">
        <w:rPr>
          <w:rFonts w:ascii="Calibri" w:eastAsia="Times New Roman" w:hAnsi="Calibri" w:cs="Calibri"/>
          <w:color w:val="000000"/>
          <w:sz w:val="22"/>
          <w:szCs w:val="22"/>
        </w:rPr>
        <w:lastRenderedPageBreak/>
        <w:t>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lastRenderedPageBreak/>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lastRenderedPageBreak/>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 xml:space="preserve">nazwa i adres Beneficjent, a gdy posiada - również NIP i REGON, </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 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3"/>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xml:space="preserve">, o którym mowa w rozdziale 16 Ustawy wdrożeniowej, w związku z realizacją Regionalnego Programu </w:t>
      </w:r>
      <w:r w:rsidRPr="005C21F5">
        <w:rPr>
          <w:rFonts w:ascii="Calibri" w:hAnsi="Calibri"/>
          <w:sz w:val="22"/>
          <w:szCs w:val="22"/>
        </w:rPr>
        <w:lastRenderedPageBreak/>
        <w:t xml:space="preserve">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 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wzorze oświadczenia stanowiącym załącznik nr 5 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Pr="005C21F5" w:rsidRDefault="005C21F5"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 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4"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Zmiana osoby uprawnionej w imieniu Beneficjenta do dostępu do systemu CST wymaga przedłożenia </w:t>
      </w:r>
      <w:r w:rsidRPr="005C21F5">
        <w:rPr>
          <w:rFonts w:ascii="Calibri" w:hAnsi="Calibri"/>
          <w:bCs/>
          <w:sz w:val="22"/>
          <w:szCs w:val="22"/>
        </w:rPr>
        <w:lastRenderedPageBreak/>
        <w:t>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 i podmiotów przez niego umocowanych”;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3: </w:t>
      </w:r>
      <w:r w:rsidRPr="005C21F5">
        <w:rPr>
          <w:rFonts w:ascii="Calibri" w:eastAsia="Times New Roman" w:hAnsi="Calibri"/>
          <w:i/>
          <w:sz w:val="22"/>
          <w:szCs w:val="22"/>
          <w:lang w:eastAsia="en-US"/>
        </w:rPr>
        <w:t>„Wzór wykazu osób upoważnionych”;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4: </w:t>
      </w:r>
      <w:r w:rsidRPr="005C21F5">
        <w:rPr>
          <w:rFonts w:ascii="Calibri" w:eastAsia="Times New Roman" w:hAnsi="Calibri"/>
          <w:i/>
          <w:sz w:val="22"/>
          <w:szCs w:val="22"/>
          <w:lang w:eastAsia="en-US"/>
        </w:rPr>
        <w:t>„Procedura nadania upoważnienia do przetwarzania danych osobowych w CST”;</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Załącznik nr 5: „</w:t>
      </w:r>
      <w:r w:rsidRPr="005C21F5">
        <w:rPr>
          <w:rFonts w:ascii="Calibri" w:eastAsia="Times New Roman" w:hAnsi="Calibri"/>
          <w:i/>
          <w:sz w:val="22"/>
          <w:szCs w:val="22"/>
          <w:lang w:eastAsia="en-US"/>
        </w:rPr>
        <w:t>Wzór oświadczenia uczestnika/osoby biorącej udział w realizacji projektu”;</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6: </w:t>
      </w:r>
      <w:r w:rsidRPr="005C21F5">
        <w:rPr>
          <w:rFonts w:ascii="Calibri" w:eastAsia="Times New Roman" w:hAnsi="Calibri"/>
          <w:i/>
          <w:sz w:val="22"/>
          <w:szCs w:val="22"/>
          <w:lang w:eastAsia="en-US"/>
        </w:rPr>
        <w:t>Pełnomocnictwo do reprezentowania partnera/partnerów w zakresie niezbędnym do zawarcia Porozumienia (wykreślić, o ile nie dotyczy)</w:t>
      </w:r>
      <w:r w:rsidRPr="005C21F5">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5C50C3">
        <w:rPr>
          <w:rFonts w:ascii="Calibri" w:hAnsi="Calibri"/>
          <w:noProof/>
          <w:sz w:val="22"/>
          <w:szCs w:val="22"/>
        </w:rPr>
        <w:lastRenderedPageBreak/>
        <w:drawing>
          <wp:inline distT="0" distB="0" distL="0" distR="0">
            <wp:extent cx="5886450" cy="51435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BA1B3B">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przebywająca w gospodarstwie domowym bez osób pracujących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 tym: w gospodarstwie domowym z dziećmi pozostającymi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41</w:t>
            </w:r>
          </w:p>
        </w:tc>
        <w:tc>
          <w:tcPr>
            <w:tcW w:w="8647" w:type="dxa"/>
            <w:shd w:val="clear" w:color="auto" w:fill="auto"/>
          </w:tcPr>
          <w:p w:rsidR="005C21F5" w:rsidRPr="005C21F5" w:rsidRDefault="005C21F5" w:rsidP="005C21F5">
            <w:pPr>
              <w:autoSpaceDE w:val="0"/>
              <w:autoSpaceDN w:val="0"/>
              <w:adjustRightInd w:val="0"/>
              <w:spacing w:line="276" w:lineRule="auto"/>
              <w:rPr>
                <w:rFonts w:ascii="Calibri" w:hAnsi="Calibri"/>
                <w:b/>
              </w:rPr>
            </w:pPr>
            <w:r w:rsidRPr="005C21F5">
              <w:rPr>
                <w:rFonts w:ascii="Calibri" w:hAnsi="Calibri"/>
                <w:sz w:val="22"/>
                <w:szCs w:val="22"/>
              </w:rPr>
              <w:t>Osoba żyjąca w gospodarstwie składającym się z jednej osoby dorosłej i dzieci pozostających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w innej niekorzystnej sytuacji społecznej (innej niż wymienione powyżej)</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BA1B3B">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BA1B3B">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50C3" w:rsidP="005C21F5">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Załącznik nr 2 do Porozumienia: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50C3" w:rsidP="005C21F5">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lastRenderedPageBreak/>
        <w:t xml:space="preserve">Załącznik nr 3 do Porozumienia: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5C21F5" w:rsidRPr="005C21F5" w:rsidTr="00BA1B3B">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50C3" w:rsidP="005C21F5">
      <w:pPr>
        <w:spacing w:line="276" w:lineRule="auto"/>
        <w:rPr>
          <w:rFonts w:ascii="Calibri" w:hAnsi="Calibri"/>
          <w:sz w:val="22"/>
          <w:szCs w:val="22"/>
        </w:rPr>
      </w:pPr>
      <w:r>
        <w:rPr>
          <w:rFonts w:ascii="Calibri" w:hAnsi="Calibri"/>
          <w:noProof/>
          <w:sz w:val="22"/>
          <w:szCs w:val="22"/>
        </w:rPr>
        <w:lastRenderedPageBreak/>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b/>
          <w:sz w:val="22"/>
          <w:szCs w:val="22"/>
        </w:rPr>
      </w:pPr>
    </w:p>
    <w:p w:rsidR="005C21F5" w:rsidRPr="005C21F5" w:rsidRDefault="005C21F5" w:rsidP="005C21F5">
      <w:pPr>
        <w:spacing w:line="276" w:lineRule="auto"/>
        <w:rPr>
          <w:rFonts w:ascii="Calibri" w:hAnsi="Calibri"/>
          <w:bCs/>
          <w:sz w:val="22"/>
          <w:szCs w:val="22"/>
        </w:rPr>
      </w:pPr>
      <w:r w:rsidRPr="005C21F5">
        <w:rPr>
          <w:rFonts w:ascii="Calibri" w:hAnsi="Calibri"/>
          <w:b/>
          <w:sz w:val="22"/>
          <w:szCs w:val="22"/>
        </w:rPr>
        <w:t xml:space="preserve">Załącznik nr 4 do Porozumienia: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5C50C3">
        <w:rPr>
          <w:rFonts w:ascii="Calibri" w:hAnsi="Calibri"/>
          <w:noProof/>
          <w:sz w:val="22"/>
          <w:szCs w:val="22"/>
        </w:rPr>
        <w:lastRenderedPageBreak/>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5 do Porozumienia: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7"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 </w:t>
      </w:r>
      <w:r w:rsidRPr="005C21F5">
        <w:rPr>
          <w:rFonts w:ascii="Calibri" w:hAnsi="Calibri"/>
          <w:sz w:val="22"/>
          <w:szCs w:val="22"/>
        </w:rPr>
        <w:t xml:space="preserve"> </w:t>
      </w:r>
      <w:hyperlink r:id="rId18"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 xml:space="preserve">wykonanie zadania realizowanego 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 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5C21F5">
        <w:rPr>
          <w:rFonts w:ascii="Calibri" w:hAnsi="Calibri" w:cs="Calibri"/>
          <w:color w:val="000000"/>
          <w:sz w:val="22"/>
          <w:szCs w:val="22"/>
          <w:lang w:eastAsia="en-US"/>
        </w:rPr>
        <w:t>informacyjno</w:t>
      </w:r>
      <w:proofErr w:type="spellEnd"/>
      <w:r w:rsidRPr="005C21F5">
        <w:rPr>
          <w:rFonts w:ascii="Calibri" w:hAnsi="Calibri" w:cs="Calibri"/>
          <w:color w:val="000000"/>
          <w:sz w:val="22"/>
          <w:szCs w:val="22"/>
          <w:lang w:eastAsia="en-US"/>
        </w:rPr>
        <w:t xml:space="preserve"> – promocyjnych w ramach RPOWP 2014-2020</w:t>
      </w:r>
      <w:r w:rsidRPr="005C21F5">
        <w:rPr>
          <w:rFonts w:ascii="Calibri" w:hAnsi="Calibri"/>
          <w:color w:val="000000"/>
          <w:sz w:val="22"/>
          <w:szCs w:val="22"/>
          <w:vertAlign w:val="superscript"/>
          <w:lang w:eastAsia="en-US"/>
        </w:rPr>
        <w:footnoteReference w:customMarkFollows="1" w:id="64"/>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BA1B3B">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BA1B3B">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5C21F5"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5"/>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6"/>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w:t>
      </w:r>
      <w:r w:rsidRPr="00F64E9C">
        <w:rPr>
          <w:rFonts w:ascii="Calibri" w:hAnsi="Calibri"/>
          <w:bCs/>
          <w:sz w:val="22"/>
          <w:szCs w:val="22"/>
        </w:rPr>
        <w:lastRenderedPageBreak/>
        <w:t>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B9130A">
      <w:pPr>
        <w:pStyle w:val="Akapitzlist"/>
        <w:numPr>
          <w:ilvl w:val="0"/>
          <w:numId w:val="71"/>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B9130A">
      <w:pPr>
        <w:numPr>
          <w:ilvl w:val="1"/>
          <w:numId w:val="52"/>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B9130A">
      <w:pPr>
        <w:numPr>
          <w:ilvl w:val="1"/>
          <w:numId w:val="52"/>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7668AE">
        <w:rPr>
          <w:rFonts w:ascii="Calibri" w:hAnsi="Calibri" w:cs="Calibri"/>
          <w:color w:val="000000"/>
          <w:sz w:val="22"/>
          <w:szCs w:val="22"/>
          <w:lang w:eastAsia="en-US"/>
        </w:rPr>
        <w:t>informacyjno</w:t>
      </w:r>
      <w:proofErr w:type="spellEnd"/>
      <w:r w:rsidRPr="007668AE">
        <w:rPr>
          <w:rFonts w:ascii="Calibri" w:hAnsi="Calibri" w:cs="Calibri"/>
          <w:color w:val="000000"/>
          <w:sz w:val="22"/>
          <w:szCs w:val="22"/>
          <w:lang w:eastAsia="en-US"/>
        </w:rPr>
        <w:t xml:space="preserve">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67"/>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9"/>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lastRenderedPageBreak/>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20"/>
          <w:headerReference w:type="first" r:id="rId21"/>
          <w:pgSz w:w="11906" w:h="16838"/>
          <w:pgMar w:top="709" w:right="991" w:bottom="993" w:left="993" w:header="709" w:footer="403" w:gutter="0"/>
          <w:cols w:space="708"/>
          <w:titlePg/>
          <w:docGrid w:linePitch="360"/>
        </w:sectPr>
      </w:pPr>
    </w:p>
    <w:p w:rsidR="009067BC" w:rsidRDefault="009067BC"/>
    <w:sectPr w:rsidR="009067BC" w:rsidSect="00754120">
      <w:headerReference w:type="first" r:id="rId2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3D8" w:rsidRDefault="008D73D8" w:rsidP="00FE2590">
      <w:r>
        <w:separator/>
      </w:r>
    </w:p>
  </w:endnote>
  <w:endnote w:type="continuationSeparator" w:id="0">
    <w:p w:rsidR="008D73D8" w:rsidRDefault="008D73D8"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Pr="004566D7" w:rsidRDefault="00A74629">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825B27">
      <w:rPr>
        <w:rFonts w:ascii="Calibri" w:hAnsi="Calibri"/>
        <w:noProof/>
        <w:sz w:val="20"/>
        <w:szCs w:val="20"/>
      </w:rPr>
      <w:t>- 2 -</w:t>
    </w:r>
    <w:r w:rsidRPr="004566D7">
      <w:rPr>
        <w:rFonts w:ascii="Calibri" w:hAnsi="Calibri"/>
        <w:sz w:val="20"/>
        <w:szCs w:val="20"/>
      </w:rPr>
      <w:fldChar w:fldCharType="end"/>
    </w:r>
  </w:p>
  <w:p w:rsidR="001D39D4" w:rsidRDefault="001D39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Pr="00D42C8B" w:rsidRDefault="00A74629">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825B27">
      <w:rPr>
        <w:rFonts w:ascii="Calibri" w:hAnsi="Calibri"/>
        <w:noProof/>
        <w:sz w:val="20"/>
      </w:rPr>
      <w:t>46</w:t>
    </w:r>
    <w:r w:rsidRPr="00D42C8B">
      <w:rPr>
        <w:rFonts w:ascii="Calibri" w:hAnsi="Calibri"/>
        <w:sz w:val="20"/>
      </w:rPr>
      <w:fldChar w:fldCharType="end"/>
    </w:r>
  </w:p>
  <w:p w:rsidR="001D39D4" w:rsidRDefault="001D3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3D8" w:rsidRDefault="008D73D8" w:rsidP="00FE2590">
      <w:r>
        <w:separator/>
      </w:r>
    </w:p>
  </w:footnote>
  <w:footnote w:type="continuationSeparator" w:id="0">
    <w:p w:rsidR="008D73D8" w:rsidRDefault="008D73D8"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 xml:space="preserve">Beneficjent jest zobowiązany do zapewnienia spójności między </w:t>
      </w:r>
      <w:proofErr w:type="spellStart"/>
      <w:r w:rsidRPr="001E65C7">
        <w:rPr>
          <w:rFonts w:ascii="Calibri" w:hAnsi="Calibri"/>
          <w:sz w:val="16"/>
          <w:szCs w:val="16"/>
        </w:rPr>
        <w:t>obydowma</w:t>
      </w:r>
      <w:proofErr w:type="spellEnd"/>
      <w:r w:rsidRPr="001E65C7">
        <w:rPr>
          <w:rFonts w:ascii="Calibri" w:hAnsi="Calibri"/>
          <w:sz w:val="16"/>
          <w:szCs w:val="16"/>
        </w:rPr>
        <w:t xml:space="preserve">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kwalifikowalnych.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5C21F5" w:rsidRDefault="005C21F5" w:rsidP="005C21F5">
      <w:pPr>
        <w:pStyle w:val="Tekstprzypisudolnego"/>
        <w:jc w:val="both"/>
      </w:pPr>
      <w:r w:rsidRPr="003905FD">
        <w:rPr>
          <w:rStyle w:val="Odwoanieprzypisudolnego"/>
        </w:rPr>
        <w:sym w:font="Symbol" w:char="F02A"/>
      </w:r>
      <w:r>
        <w:t xml:space="preserve"> </w:t>
      </w:r>
      <w:r w:rsidR="00EA36C7">
        <w:rPr>
          <w:sz w:val="16"/>
          <w:szCs w:val="16"/>
        </w:rPr>
        <w:t>niepotrzebne skreślić</w:t>
      </w:r>
      <w:r w:rsidRPr="00E73CF5">
        <w:rPr>
          <w:rFonts w:ascii="Calibri" w:hAnsi="Calibri"/>
          <w:sz w:val="16"/>
          <w:szCs w:val="16"/>
        </w:rPr>
        <w:t>.</w:t>
      </w:r>
    </w:p>
  </w:footnote>
  <w:footnote w:id="64">
    <w:p w:rsidR="005C21F5" w:rsidRPr="007C7C34" w:rsidRDefault="005C21F5" w:rsidP="005C21F5">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5">
    <w:p w:rsidR="005C21F5" w:rsidRPr="007C7C34" w:rsidRDefault="005C21F5" w:rsidP="005C21F5">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6">
    <w:p w:rsidR="001D39D4" w:rsidRDefault="001D39D4" w:rsidP="00094AF3">
      <w:pPr>
        <w:pStyle w:val="Tekstprzypisudolnego"/>
        <w:jc w:val="both"/>
      </w:pPr>
      <w:r>
        <w:rPr>
          <w:rStyle w:val="Odwoanieprzypisudolnego"/>
        </w:rPr>
        <w:footnoteRef/>
      </w:r>
      <w:r>
        <w:t xml:space="preserve"> Zgodnie z art. 27 ust. 1, w zw. z art. 27 ust. 2 pkt 1 ustawy o ochronie danych osobowych z</w:t>
      </w:r>
      <w:r w:rsidRPr="009645FA">
        <w:t xml:space="preserve">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9645FA">
        <w:t>skazań</w:t>
      </w:r>
      <w:proofErr w:type="spellEnd"/>
      <w:r w:rsidRPr="009645FA">
        <w:t>,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67">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6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Default="001D39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2"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9"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1"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0"/>
  </w:num>
  <w:num w:numId="2">
    <w:abstractNumId w:val="18"/>
  </w:num>
  <w:num w:numId="3">
    <w:abstractNumId w:val="74"/>
  </w:num>
  <w:num w:numId="4">
    <w:abstractNumId w:val="68"/>
  </w:num>
  <w:num w:numId="5">
    <w:abstractNumId w:val="8"/>
  </w:num>
  <w:num w:numId="6">
    <w:abstractNumId w:val="6"/>
  </w:num>
  <w:num w:numId="7">
    <w:abstractNumId w:val="49"/>
  </w:num>
  <w:num w:numId="8">
    <w:abstractNumId w:val="55"/>
  </w:num>
  <w:num w:numId="9">
    <w:abstractNumId w:val="48"/>
  </w:num>
  <w:num w:numId="10">
    <w:abstractNumId w:val="26"/>
  </w:num>
  <w:num w:numId="11">
    <w:abstractNumId w:val="60"/>
  </w:num>
  <w:num w:numId="12">
    <w:abstractNumId w:val="45"/>
  </w:num>
  <w:num w:numId="13">
    <w:abstractNumId w:val="38"/>
  </w:num>
  <w:num w:numId="14">
    <w:abstractNumId w:val="67"/>
  </w:num>
  <w:num w:numId="15">
    <w:abstractNumId w:val="16"/>
  </w:num>
  <w:num w:numId="16">
    <w:abstractNumId w:val="39"/>
  </w:num>
  <w:num w:numId="17">
    <w:abstractNumId w:val="23"/>
  </w:num>
  <w:num w:numId="18">
    <w:abstractNumId w:val="73"/>
  </w:num>
  <w:num w:numId="19">
    <w:abstractNumId w:val="32"/>
  </w:num>
  <w:num w:numId="20">
    <w:abstractNumId w:val="33"/>
  </w:num>
  <w:num w:numId="21">
    <w:abstractNumId w:val="27"/>
  </w:num>
  <w:num w:numId="22">
    <w:abstractNumId w:val="65"/>
  </w:num>
  <w:num w:numId="23">
    <w:abstractNumId w:val="43"/>
  </w:num>
  <w:num w:numId="24">
    <w:abstractNumId w:val="4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2"/>
  </w:num>
  <w:num w:numId="31">
    <w:abstractNumId w:val="13"/>
  </w:num>
  <w:num w:numId="32">
    <w:abstractNumId w:val="14"/>
  </w:num>
  <w:num w:numId="33">
    <w:abstractNumId w:val="36"/>
  </w:num>
  <w:num w:numId="34">
    <w:abstractNumId w:val="58"/>
  </w:num>
  <w:num w:numId="35">
    <w:abstractNumId w:val="52"/>
  </w:num>
  <w:num w:numId="36">
    <w:abstractNumId w:val="28"/>
  </w:num>
  <w:num w:numId="37">
    <w:abstractNumId w:val="31"/>
  </w:num>
  <w:num w:numId="38">
    <w:abstractNumId w:val="1"/>
  </w:num>
  <w:num w:numId="39">
    <w:abstractNumId w:val="11"/>
  </w:num>
  <w:num w:numId="40">
    <w:abstractNumId w:val="77"/>
  </w:num>
  <w:num w:numId="41">
    <w:abstractNumId w:val="75"/>
  </w:num>
  <w:num w:numId="42">
    <w:abstractNumId w:val="56"/>
  </w:num>
  <w:num w:numId="43">
    <w:abstractNumId w:val="22"/>
  </w:num>
  <w:num w:numId="44">
    <w:abstractNumId w:val="53"/>
  </w:num>
  <w:num w:numId="45">
    <w:abstractNumId w:val="37"/>
  </w:num>
  <w:num w:numId="46">
    <w:abstractNumId w:val="47"/>
  </w:num>
  <w:num w:numId="47">
    <w:abstractNumId w:val="9"/>
  </w:num>
  <w:num w:numId="48">
    <w:abstractNumId w:val="40"/>
  </w:num>
  <w:num w:numId="49">
    <w:abstractNumId w:val="17"/>
  </w:num>
  <w:num w:numId="50">
    <w:abstractNumId w:val="62"/>
  </w:num>
  <w:num w:numId="51">
    <w:abstractNumId w:val="3"/>
  </w:num>
  <w:num w:numId="52">
    <w:abstractNumId w:val="7"/>
  </w:num>
  <w:num w:numId="53">
    <w:abstractNumId w:val="78"/>
  </w:num>
  <w:num w:numId="54">
    <w:abstractNumId w:val="12"/>
  </w:num>
  <w:num w:numId="55">
    <w:abstractNumId w:val="79"/>
  </w:num>
  <w:num w:numId="56">
    <w:abstractNumId w:val="4"/>
  </w:num>
  <w:num w:numId="57">
    <w:abstractNumId w:val="61"/>
  </w:num>
  <w:num w:numId="58">
    <w:abstractNumId w:val="71"/>
  </w:num>
  <w:num w:numId="59">
    <w:abstractNumId w:val="34"/>
  </w:num>
  <w:num w:numId="60">
    <w:abstractNumId w:val="59"/>
  </w:num>
  <w:num w:numId="61">
    <w:abstractNumId w:val="19"/>
  </w:num>
  <w:num w:numId="62">
    <w:abstractNumId w:val="29"/>
  </w:num>
  <w:num w:numId="63">
    <w:abstractNumId w:val="2"/>
  </w:num>
  <w:num w:numId="64">
    <w:abstractNumId w:val="44"/>
  </w:num>
  <w:num w:numId="65">
    <w:abstractNumId w:val="24"/>
  </w:num>
  <w:num w:numId="66">
    <w:abstractNumId w:val="20"/>
  </w:num>
  <w:num w:numId="67">
    <w:abstractNumId w:val="63"/>
  </w:num>
  <w:num w:numId="68">
    <w:abstractNumId w:val="0"/>
  </w:num>
  <w:num w:numId="69">
    <w:abstractNumId w:val="57"/>
  </w:num>
  <w:num w:numId="70">
    <w:abstractNumId w:val="30"/>
  </w:num>
  <w:num w:numId="71">
    <w:abstractNumId w:val="76"/>
  </w:num>
  <w:num w:numId="72">
    <w:abstractNumId w:val="46"/>
  </w:num>
  <w:num w:numId="73">
    <w:abstractNumId w:val="70"/>
  </w:num>
  <w:num w:numId="74">
    <w:abstractNumId w:val="66"/>
  </w:num>
  <w:num w:numId="75">
    <w:abstractNumId w:val="54"/>
  </w:num>
  <w:num w:numId="76">
    <w:abstractNumId w:val="72"/>
  </w:num>
  <w:num w:numId="77">
    <w:abstractNumId w:val="51"/>
  </w:num>
  <w:num w:numId="78">
    <w:abstractNumId w:val="35"/>
  </w:num>
  <w:num w:numId="79">
    <w:abstractNumId w:val="69"/>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590"/>
    <w:rsid w:val="00001CA4"/>
    <w:rsid w:val="000223D0"/>
    <w:rsid w:val="00027B6D"/>
    <w:rsid w:val="00032C08"/>
    <w:rsid w:val="00047F15"/>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3507A"/>
    <w:rsid w:val="00445837"/>
    <w:rsid w:val="00447DA4"/>
    <w:rsid w:val="00450D26"/>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201B"/>
    <w:rsid w:val="005C21F5"/>
    <w:rsid w:val="005C37C6"/>
    <w:rsid w:val="005C50C3"/>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B5BC3"/>
    <w:rsid w:val="007B7D8A"/>
    <w:rsid w:val="007C155B"/>
    <w:rsid w:val="007C21DF"/>
    <w:rsid w:val="007E30B6"/>
    <w:rsid w:val="007F03E4"/>
    <w:rsid w:val="00814BF4"/>
    <w:rsid w:val="00825B27"/>
    <w:rsid w:val="0082609A"/>
    <w:rsid w:val="00831CDD"/>
    <w:rsid w:val="00844884"/>
    <w:rsid w:val="00845274"/>
    <w:rsid w:val="00846E29"/>
    <w:rsid w:val="0085482C"/>
    <w:rsid w:val="00854A59"/>
    <w:rsid w:val="008566BC"/>
    <w:rsid w:val="0086260B"/>
    <w:rsid w:val="008817E0"/>
    <w:rsid w:val="00881D8C"/>
    <w:rsid w:val="00881FDD"/>
    <w:rsid w:val="0089153D"/>
    <w:rsid w:val="00893C10"/>
    <w:rsid w:val="008A0F41"/>
    <w:rsid w:val="008A51EF"/>
    <w:rsid w:val="008A7002"/>
    <w:rsid w:val="008C7C2A"/>
    <w:rsid w:val="008D085B"/>
    <w:rsid w:val="008D5812"/>
    <w:rsid w:val="008D73D8"/>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E2FF6"/>
    <w:rsid w:val="009F7391"/>
    <w:rsid w:val="00A053E4"/>
    <w:rsid w:val="00A27468"/>
    <w:rsid w:val="00A31BB7"/>
    <w:rsid w:val="00A465CF"/>
    <w:rsid w:val="00A533D2"/>
    <w:rsid w:val="00A62EB3"/>
    <w:rsid w:val="00A64397"/>
    <w:rsid w:val="00A65474"/>
    <w:rsid w:val="00A70269"/>
    <w:rsid w:val="00A72F2C"/>
    <w:rsid w:val="00A73690"/>
    <w:rsid w:val="00A74629"/>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36E82"/>
    <w:rsid w:val="00B3758F"/>
    <w:rsid w:val="00B43205"/>
    <w:rsid w:val="00B4336F"/>
    <w:rsid w:val="00B57896"/>
    <w:rsid w:val="00B646B4"/>
    <w:rsid w:val="00B64AFF"/>
    <w:rsid w:val="00B64CD9"/>
    <w:rsid w:val="00B74AAD"/>
    <w:rsid w:val="00B751EE"/>
    <w:rsid w:val="00B9130A"/>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0AB7"/>
    <w:rsid w:val="00D24347"/>
    <w:rsid w:val="00D32F7D"/>
    <w:rsid w:val="00D350A5"/>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CBBCE"/>
  <w15:docId w15:val="{D685D194-9AA3-4C25-B400-D2AD47C5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iod@wrotapodlasi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rpo.wrotapodlasi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B36A7-E6EB-4B53-9522-1A6CB2D7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14196</Words>
  <Characters>85179</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Magdalena Kulesza</cp:lastModifiedBy>
  <cp:revision>4</cp:revision>
  <cp:lastPrinted>2018-01-26T10:47:00Z</cp:lastPrinted>
  <dcterms:created xsi:type="dcterms:W3CDTF">2018-06-04T11:03:00Z</dcterms:created>
  <dcterms:modified xsi:type="dcterms:W3CDTF">2018-09-06T09:20:00Z</dcterms:modified>
</cp:coreProperties>
</file>